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C7CEB9" w14:textId="0BB61127" w:rsidR="00273278" w:rsidRDefault="00273278" w:rsidP="00273278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Supplementary</w:t>
      </w:r>
      <w:r w:rsidR="004C4297">
        <w:rPr>
          <w:rFonts w:ascii="Times New Roman" w:eastAsiaTheme="minorEastAsia" w:hAnsi="Times New Roman" w:cs="Times New Roman"/>
        </w:rPr>
        <w:t xml:space="preserve"> tables and</w:t>
      </w:r>
      <w:r>
        <w:rPr>
          <w:rFonts w:ascii="Times New Roman" w:eastAsiaTheme="minorEastAsia" w:hAnsi="Times New Roman" w:cs="Times New Roman"/>
        </w:rPr>
        <w:t xml:space="preserve"> figures </w:t>
      </w:r>
    </w:p>
    <w:p w14:paraId="26A17B37" w14:textId="77777777" w:rsidR="004C4297" w:rsidRDefault="004C4297" w:rsidP="00273278">
      <w:pPr>
        <w:rPr>
          <w:rFonts w:ascii="Times New Roman" w:eastAsiaTheme="minorEastAsia" w:hAnsi="Times New Roman" w:cs="Times New Roman"/>
        </w:rPr>
      </w:pPr>
    </w:p>
    <w:p w14:paraId="52160488" w14:textId="77777777" w:rsidR="004C4297" w:rsidRDefault="004C4297" w:rsidP="004C4297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Table S1. Description of identified COG pathways.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560"/>
        <w:gridCol w:w="6736"/>
      </w:tblGrid>
      <w:tr w:rsidR="004C4297" w:rsidRPr="00107F8B" w14:paraId="74AFA5F1" w14:textId="77777777" w:rsidTr="00951C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4" w:space="0" w:color="auto"/>
            </w:tcBorders>
          </w:tcPr>
          <w:p w14:paraId="31B8C414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 ID</w:t>
            </w:r>
          </w:p>
        </w:tc>
        <w:tc>
          <w:tcPr>
            <w:tcW w:w="6736" w:type="dxa"/>
            <w:tcBorders>
              <w:top w:val="single" w:sz="4" w:space="0" w:color="auto"/>
            </w:tcBorders>
          </w:tcPr>
          <w:p w14:paraId="1846F19C" w14:textId="77777777" w:rsidR="004C4297" w:rsidRPr="00107F8B" w:rsidRDefault="004C4297" w:rsidP="00951C36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 xml:space="preserve">Description </w:t>
            </w:r>
          </w:p>
        </w:tc>
      </w:tr>
      <w:tr w:rsidR="004C4297" w:rsidRPr="00107F8B" w14:paraId="40ECDE10" w14:textId="77777777" w:rsidTr="00951C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17DF834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COG1600</w:t>
            </w:r>
          </w:p>
        </w:tc>
        <w:tc>
          <w:tcPr>
            <w:tcW w:w="6736" w:type="dxa"/>
          </w:tcPr>
          <w:p w14:paraId="28A79ADD" w14:textId="77777777" w:rsidR="004C4297" w:rsidRPr="00107F8B" w:rsidRDefault="004C4297" w:rsidP="00951C3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>Uncharacterized Fe-S protein</w:t>
            </w:r>
          </w:p>
        </w:tc>
      </w:tr>
      <w:tr w:rsidR="004C4297" w:rsidRPr="00107F8B" w14:paraId="17185D95" w14:textId="77777777" w:rsidTr="00951C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A0FD41E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COG4938</w:t>
            </w:r>
          </w:p>
        </w:tc>
        <w:tc>
          <w:tcPr>
            <w:tcW w:w="6736" w:type="dxa"/>
          </w:tcPr>
          <w:p w14:paraId="2C49679B" w14:textId="77777777" w:rsidR="004C4297" w:rsidRPr="00107F8B" w:rsidRDefault="004C4297" w:rsidP="00951C3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>Uncharacterized conserved protein</w:t>
            </w:r>
          </w:p>
        </w:tc>
      </w:tr>
      <w:tr w:rsidR="004C4297" w:rsidRPr="00107F8B" w14:paraId="3BC30C81" w14:textId="77777777" w:rsidTr="00951C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CCAE06B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COG2026</w:t>
            </w:r>
          </w:p>
        </w:tc>
        <w:tc>
          <w:tcPr>
            <w:tcW w:w="6736" w:type="dxa"/>
          </w:tcPr>
          <w:p w14:paraId="2E1020B2" w14:textId="77777777" w:rsidR="004C4297" w:rsidRPr="00107F8B" w:rsidRDefault="004C4297" w:rsidP="00951C3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>Cytotoxic translational repressor of toxin-ant</w:t>
            </w:r>
            <w:r>
              <w:rPr>
                <w:rFonts w:ascii="Times New Roman" w:eastAsiaTheme="minorEastAsia" w:hAnsi="Times New Roman" w:cs="Times New Roman"/>
                <w:szCs w:val="24"/>
              </w:rPr>
              <w:t>it</w:t>
            </w:r>
            <w:r w:rsidRPr="00107F8B">
              <w:rPr>
                <w:rFonts w:ascii="Times New Roman" w:eastAsiaTheme="minorEastAsia" w:hAnsi="Times New Roman" w:cs="Times New Roman"/>
                <w:szCs w:val="24"/>
              </w:rPr>
              <w:t>oxin stability system</w:t>
            </w:r>
          </w:p>
        </w:tc>
      </w:tr>
      <w:tr w:rsidR="004C4297" w:rsidRPr="00107F8B" w14:paraId="46F40DC2" w14:textId="77777777" w:rsidTr="00951C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4C38169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COG4463</w:t>
            </w:r>
          </w:p>
        </w:tc>
        <w:tc>
          <w:tcPr>
            <w:tcW w:w="6736" w:type="dxa"/>
          </w:tcPr>
          <w:p w14:paraId="1B487D1A" w14:textId="77777777" w:rsidR="004C4297" w:rsidRPr="00107F8B" w:rsidRDefault="004C4297" w:rsidP="00951C3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>Transcriptional repressor of class III stress genes</w:t>
            </w:r>
          </w:p>
        </w:tc>
      </w:tr>
      <w:tr w:rsidR="004C4297" w:rsidRPr="00107F8B" w14:paraId="090F2540" w14:textId="77777777" w:rsidTr="00951C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BC0B7FA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COG0386</w:t>
            </w:r>
          </w:p>
        </w:tc>
        <w:tc>
          <w:tcPr>
            <w:tcW w:w="6736" w:type="dxa"/>
          </w:tcPr>
          <w:p w14:paraId="4B5EA5E5" w14:textId="77777777" w:rsidR="004C4297" w:rsidRPr="00107F8B" w:rsidRDefault="004C4297" w:rsidP="00951C3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>Glutathione peroxidase</w:t>
            </w:r>
          </w:p>
        </w:tc>
      </w:tr>
      <w:tr w:rsidR="004C4297" w:rsidRPr="00107F8B" w14:paraId="61A190B2" w14:textId="77777777" w:rsidTr="00951C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514C0AC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COG0045</w:t>
            </w:r>
          </w:p>
        </w:tc>
        <w:tc>
          <w:tcPr>
            <w:tcW w:w="6736" w:type="dxa"/>
          </w:tcPr>
          <w:p w14:paraId="283057B5" w14:textId="77777777" w:rsidR="004C4297" w:rsidRPr="00107F8B" w:rsidRDefault="004C4297" w:rsidP="00951C3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>Succinyl-CoA synthetase, beta subunit</w:t>
            </w:r>
          </w:p>
        </w:tc>
      </w:tr>
      <w:tr w:rsidR="004C4297" w:rsidRPr="00107F8B" w14:paraId="68339806" w14:textId="77777777" w:rsidTr="00951C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E38E39E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COG2153</w:t>
            </w:r>
          </w:p>
        </w:tc>
        <w:tc>
          <w:tcPr>
            <w:tcW w:w="6736" w:type="dxa"/>
          </w:tcPr>
          <w:p w14:paraId="3780EDE7" w14:textId="77777777" w:rsidR="004C4297" w:rsidRPr="00107F8B" w:rsidRDefault="004C4297" w:rsidP="00951C3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>Predicted acyltransferase</w:t>
            </w:r>
          </w:p>
        </w:tc>
      </w:tr>
      <w:tr w:rsidR="004C4297" w:rsidRPr="00107F8B" w14:paraId="5017030F" w14:textId="77777777" w:rsidTr="00951C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E5C079B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COG1783</w:t>
            </w:r>
          </w:p>
        </w:tc>
        <w:tc>
          <w:tcPr>
            <w:tcW w:w="6736" w:type="dxa"/>
          </w:tcPr>
          <w:p w14:paraId="4B9C8E97" w14:textId="77777777" w:rsidR="004C4297" w:rsidRPr="00107F8B" w:rsidRDefault="004C4297" w:rsidP="00951C3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 xml:space="preserve">Phage </w:t>
            </w:r>
            <w:proofErr w:type="spellStart"/>
            <w:r w:rsidRPr="00107F8B">
              <w:rPr>
                <w:rFonts w:ascii="Times New Roman" w:eastAsiaTheme="minorEastAsia" w:hAnsi="Times New Roman" w:cs="Times New Roman"/>
                <w:szCs w:val="24"/>
              </w:rPr>
              <w:t>terminase</w:t>
            </w:r>
            <w:proofErr w:type="spellEnd"/>
            <w:r w:rsidRPr="00107F8B">
              <w:rPr>
                <w:rFonts w:ascii="Times New Roman" w:eastAsiaTheme="minorEastAsia" w:hAnsi="Times New Roman" w:cs="Times New Roman"/>
                <w:szCs w:val="24"/>
              </w:rPr>
              <w:t xml:space="preserve"> large subunit</w:t>
            </w:r>
          </w:p>
        </w:tc>
      </w:tr>
      <w:tr w:rsidR="004C4297" w:rsidRPr="00107F8B" w14:paraId="2E209A2D" w14:textId="77777777" w:rsidTr="00951C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DDD25E0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COG3463</w:t>
            </w:r>
          </w:p>
        </w:tc>
        <w:tc>
          <w:tcPr>
            <w:tcW w:w="6736" w:type="dxa"/>
          </w:tcPr>
          <w:p w14:paraId="4802CA88" w14:textId="77777777" w:rsidR="004C4297" w:rsidRPr="00107F8B" w:rsidRDefault="004C4297" w:rsidP="00951C3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>Predicted membrane protein</w:t>
            </w:r>
          </w:p>
        </w:tc>
      </w:tr>
      <w:tr w:rsidR="004C4297" w:rsidRPr="00107F8B" w14:paraId="3F5DAD84" w14:textId="77777777" w:rsidTr="00951C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33C770DD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COG4330</w:t>
            </w:r>
          </w:p>
        </w:tc>
        <w:tc>
          <w:tcPr>
            <w:tcW w:w="6736" w:type="dxa"/>
          </w:tcPr>
          <w:p w14:paraId="054190D3" w14:textId="77777777" w:rsidR="004C4297" w:rsidRPr="00107F8B" w:rsidRDefault="004C4297" w:rsidP="00951C3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>Predicted membrane protein</w:t>
            </w:r>
          </w:p>
        </w:tc>
      </w:tr>
      <w:tr w:rsidR="004C4297" w:rsidRPr="00107F8B" w14:paraId="5C2DCD10" w14:textId="77777777" w:rsidTr="00951C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7D68A02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COG4545</w:t>
            </w:r>
          </w:p>
        </w:tc>
        <w:tc>
          <w:tcPr>
            <w:tcW w:w="6736" w:type="dxa"/>
          </w:tcPr>
          <w:p w14:paraId="4C79152A" w14:textId="77777777" w:rsidR="004C4297" w:rsidRPr="00107F8B" w:rsidRDefault="004C4297" w:rsidP="00951C3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proofErr w:type="spellStart"/>
            <w:r w:rsidRPr="00107F8B">
              <w:rPr>
                <w:rFonts w:ascii="Times New Roman" w:eastAsiaTheme="minorEastAsia" w:hAnsi="Times New Roman" w:cs="Times New Roman"/>
                <w:szCs w:val="24"/>
              </w:rPr>
              <w:t>Glutaredoxin</w:t>
            </w:r>
            <w:proofErr w:type="spellEnd"/>
            <w:r w:rsidRPr="00107F8B">
              <w:rPr>
                <w:rFonts w:ascii="Times New Roman" w:eastAsiaTheme="minorEastAsia" w:hAnsi="Times New Roman" w:cs="Times New Roman"/>
                <w:szCs w:val="24"/>
              </w:rPr>
              <w:t xml:space="preserve"> related protein</w:t>
            </w:r>
          </w:p>
        </w:tc>
      </w:tr>
      <w:tr w:rsidR="004C4297" w:rsidRPr="00107F8B" w14:paraId="0B29C4F3" w14:textId="77777777" w:rsidTr="00951C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420D2BA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COG0252</w:t>
            </w:r>
          </w:p>
        </w:tc>
        <w:tc>
          <w:tcPr>
            <w:tcW w:w="6736" w:type="dxa"/>
          </w:tcPr>
          <w:p w14:paraId="5A410355" w14:textId="77777777" w:rsidR="004C4297" w:rsidRPr="00107F8B" w:rsidRDefault="004C4297" w:rsidP="00951C3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>L-asparaginase/archaeal Glu-</w:t>
            </w:r>
            <w:proofErr w:type="spellStart"/>
            <w:r w:rsidRPr="00107F8B">
              <w:rPr>
                <w:rFonts w:ascii="Times New Roman" w:eastAsiaTheme="minorEastAsia" w:hAnsi="Times New Roman" w:cs="Times New Roman"/>
                <w:szCs w:val="24"/>
              </w:rPr>
              <w:t>tRNAGln</w:t>
            </w:r>
            <w:proofErr w:type="spellEnd"/>
            <w:r w:rsidRPr="00107F8B">
              <w:rPr>
                <w:rFonts w:ascii="Times New Roman" w:eastAsiaTheme="minorEastAsia" w:hAnsi="Times New Roman" w:cs="Times New Roman"/>
                <w:szCs w:val="24"/>
              </w:rPr>
              <w:t xml:space="preserve"> aminotransferase subunit D</w:t>
            </w:r>
          </w:p>
        </w:tc>
      </w:tr>
      <w:tr w:rsidR="004C4297" w:rsidRPr="00107F8B" w14:paraId="6AC67F0D" w14:textId="77777777" w:rsidTr="00951C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C75556C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COG4880</w:t>
            </w:r>
          </w:p>
        </w:tc>
        <w:tc>
          <w:tcPr>
            <w:tcW w:w="6736" w:type="dxa"/>
          </w:tcPr>
          <w:p w14:paraId="1C5B0473" w14:textId="77777777" w:rsidR="004C4297" w:rsidRPr="00107F8B" w:rsidRDefault="004C4297" w:rsidP="00951C3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>Secreted protein containing C-terminal beta propeller domain distantly related to WD-40 repeats</w:t>
            </w:r>
          </w:p>
        </w:tc>
      </w:tr>
      <w:tr w:rsidR="004C4297" w:rsidRPr="00107F8B" w14:paraId="0BC60EF8" w14:textId="77777777" w:rsidTr="00951C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C04F64E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COG1252</w:t>
            </w:r>
          </w:p>
        </w:tc>
        <w:tc>
          <w:tcPr>
            <w:tcW w:w="6736" w:type="dxa"/>
          </w:tcPr>
          <w:p w14:paraId="4569ED6C" w14:textId="77777777" w:rsidR="004C4297" w:rsidRPr="00107F8B" w:rsidRDefault="004C4297" w:rsidP="00951C3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>NADH dehydrogenase, FAD-containing subunit</w:t>
            </w:r>
          </w:p>
        </w:tc>
      </w:tr>
      <w:tr w:rsidR="004C4297" w:rsidRPr="00107F8B" w14:paraId="0C4FDA45" w14:textId="77777777" w:rsidTr="00951C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839058D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COG1618</w:t>
            </w:r>
          </w:p>
        </w:tc>
        <w:tc>
          <w:tcPr>
            <w:tcW w:w="6736" w:type="dxa"/>
          </w:tcPr>
          <w:p w14:paraId="4E96DAAC" w14:textId="77777777" w:rsidR="004C4297" w:rsidRPr="00107F8B" w:rsidRDefault="004C4297" w:rsidP="00951C3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>Predicted nucleotide kinase</w:t>
            </w:r>
          </w:p>
        </w:tc>
      </w:tr>
      <w:tr w:rsidR="004C4297" w:rsidRPr="00107F8B" w14:paraId="0C0F64CB" w14:textId="77777777" w:rsidTr="00951C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E753E1D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COG1036</w:t>
            </w:r>
          </w:p>
        </w:tc>
        <w:tc>
          <w:tcPr>
            <w:tcW w:w="6736" w:type="dxa"/>
          </w:tcPr>
          <w:p w14:paraId="22DCCF74" w14:textId="77777777" w:rsidR="004C4297" w:rsidRPr="00107F8B" w:rsidRDefault="004C4297" w:rsidP="00951C3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>Archaeal flavoproteins</w:t>
            </w:r>
          </w:p>
        </w:tc>
      </w:tr>
      <w:tr w:rsidR="004C4297" w:rsidRPr="00107F8B" w14:paraId="1D84E2EE" w14:textId="77777777" w:rsidTr="00951C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59A7672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COG5026</w:t>
            </w:r>
          </w:p>
        </w:tc>
        <w:tc>
          <w:tcPr>
            <w:tcW w:w="6736" w:type="dxa"/>
          </w:tcPr>
          <w:p w14:paraId="51BEBDD1" w14:textId="77777777" w:rsidR="004C4297" w:rsidRPr="00107F8B" w:rsidRDefault="004C4297" w:rsidP="00951C3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 xml:space="preserve">Hexokinase </w:t>
            </w:r>
          </w:p>
        </w:tc>
      </w:tr>
      <w:tr w:rsidR="004C4297" w:rsidRPr="00107F8B" w14:paraId="2CE1B9C1" w14:textId="77777777" w:rsidTr="00951C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E027C70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COG4146</w:t>
            </w:r>
          </w:p>
        </w:tc>
        <w:tc>
          <w:tcPr>
            <w:tcW w:w="6736" w:type="dxa"/>
          </w:tcPr>
          <w:p w14:paraId="106C7C1A" w14:textId="77777777" w:rsidR="004C4297" w:rsidRPr="00107F8B" w:rsidRDefault="004C4297" w:rsidP="00951C3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>Predicted symporter</w:t>
            </w:r>
          </w:p>
        </w:tc>
      </w:tr>
      <w:tr w:rsidR="004C4297" w:rsidRPr="00107F8B" w14:paraId="12D0EC95" w14:textId="77777777" w:rsidTr="00951C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A9FDF74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COG4542</w:t>
            </w:r>
          </w:p>
        </w:tc>
        <w:tc>
          <w:tcPr>
            <w:tcW w:w="6736" w:type="dxa"/>
          </w:tcPr>
          <w:p w14:paraId="124C43C7" w14:textId="77777777" w:rsidR="004C4297" w:rsidRPr="00107F8B" w:rsidRDefault="004C4297" w:rsidP="00951C3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>Protein involved in propanediol utilization, and related proteins (includes coumermycin biosynthetic protein), possible kinase</w:t>
            </w:r>
          </w:p>
        </w:tc>
      </w:tr>
      <w:tr w:rsidR="004C4297" w:rsidRPr="00107F8B" w14:paraId="4B008E3B" w14:textId="77777777" w:rsidTr="00951C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bottom w:val="single" w:sz="4" w:space="0" w:color="auto"/>
            </w:tcBorders>
          </w:tcPr>
          <w:p w14:paraId="7410C7F3" w14:textId="77777777" w:rsidR="004C4297" w:rsidRPr="00107F8B" w:rsidRDefault="004C4297" w:rsidP="00951C36">
            <w:pPr>
              <w:spacing w:line="276" w:lineRule="auto"/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b w:val="0"/>
                <w:bCs w:val="0"/>
                <w:szCs w:val="24"/>
              </w:rPr>
              <w:t>COG4283</w:t>
            </w:r>
          </w:p>
        </w:tc>
        <w:tc>
          <w:tcPr>
            <w:tcW w:w="6736" w:type="dxa"/>
            <w:tcBorders>
              <w:bottom w:val="single" w:sz="4" w:space="0" w:color="auto"/>
            </w:tcBorders>
          </w:tcPr>
          <w:p w14:paraId="42D39B7B" w14:textId="77777777" w:rsidR="004C4297" w:rsidRPr="00107F8B" w:rsidRDefault="004C4297" w:rsidP="00951C3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4"/>
              </w:rPr>
            </w:pPr>
            <w:r w:rsidRPr="00107F8B">
              <w:rPr>
                <w:rFonts w:ascii="Times New Roman" w:eastAsiaTheme="minorEastAsia" w:hAnsi="Times New Roman" w:cs="Times New Roman"/>
                <w:szCs w:val="24"/>
              </w:rPr>
              <w:t>Uncharacterized conserved protein</w:t>
            </w:r>
          </w:p>
        </w:tc>
      </w:tr>
    </w:tbl>
    <w:p w14:paraId="6F5D5163" w14:textId="77777777" w:rsidR="004C4297" w:rsidRDefault="004C4297" w:rsidP="004C4297">
      <w:pPr>
        <w:rPr>
          <w:rFonts w:ascii="Times New Roman" w:eastAsiaTheme="minorEastAsia" w:hAnsi="Times New Roman" w:cs="Times New Roman"/>
        </w:rPr>
      </w:pPr>
    </w:p>
    <w:p w14:paraId="6A0828A4" w14:textId="77777777" w:rsidR="004C4297" w:rsidRDefault="004C4297" w:rsidP="004C4297"/>
    <w:p w14:paraId="7BE7654C" w14:textId="77777777" w:rsidR="00273278" w:rsidRDefault="00273278" w:rsidP="00273278">
      <w:pPr>
        <w:rPr>
          <w:rFonts w:ascii="Times New Roman" w:eastAsiaTheme="minorEastAsia" w:hAnsi="Times New Roman" w:cs="Times New Roman"/>
        </w:rPr>
      </w:pPr>
    </w:p>
    <w:p w14:paraId="7726012D" w14:textId="77777777" w:rsidR="00273278" w:rsidRDefault="00273278" w:rsidP="00273278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</w:rPr>
        <w:lastRenderedPageBreak/>
        <w:drawing>
          <wp:inline distT="0" distB="0" distL="0" distR="0" wp14:anchorId="1F590297" wp14:editId="34C51D3E">
            <wp:extent cx="5374105" cy="53741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6829" cy="53768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082332" w14:textId="0DACF2F8" w:rsidR="00273278" w:rsidRDefault="009F67F1" w:rsidP="00273278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F</w:t>
      </w:r>
      <w:r w:rsidR="00273278">
        <w:rPr>
          <w:rFonts w:ascii="Times New Roman" w:eastAsiaTheme="minorEastAsia" w:hAnsi="Times New Roman" w:cs="Times New Roman"/>
        </w:rPr>
        <w:t xml:space="preserve">igure </w:t>
      </w:r>
      <w:r>
        <w:rPr>
          <w:rFonts w:ascii="Times New Roman" w:eastAsiaTheme="minorEastAsia" w:hAnsi="Times New Roman" w:cs="Times New Roman"/>
        </w:rPr>
        <w:t>S</w:t>
      </w:r>
      <w:r w:rsidR="00273278">
        <w:rPr>
          <w:rFonts w:ascii="Times New Roman" w:eastAsiaTheme="minorEastAsia" w:hAnsi="Times New Roman" w:cs="Times New Roman"/>
        </w:rPr>
        <w:t xml:space="preserve">1. Ordination plot with principle component analysis (PCA). </w:t>
      </w:r>
    </w:p>
    <w:p w14:paraId="3B3AF4C7" w14:textId="77777777" w:rsidR="00273278" w:rsidRPr="004448FC" w:rsidRDefault="00273278" w:rsidP="00273278">
      <w:pPr>
        <w:rPr>
          <w:rFonts w:ascii="Times New Roman" w:eastAsiaTheme="minorEastAsia" w:hAnsi="Times New Roman" w:cs="Times New Roman"/>
        </w:rPr>
      </w:pPr>
    </w:p>
    <w:p w14:paraId="5FCD584C" w14:textId="77777777" w:rsidR="00273278" w:rsidRDefault="00273278" w:rsidP="00273278">
      <w:pPr>
        <w:rPr>
          <w:rFonts w:ascii="Times New Roman" w:eastAsiaTheme="minorEastAsia" w:hAnsi="Times New Roman" w:cs="Times New Roman"/>
        </w:rPr>
      </w:pPr>
      <w:bookmarkStart w:id="0" w:name="_GoBack"/>
      <w:r>
        <w:rPr>
          <w:rFonts w:ascii="Times New Roman" w:eastAsiaTheme="minorEastAsia" w:hAnsi="Times New Roman" w:cs="Times New Roman"/>
          <w:noProof/>
        </w:rPr>
        <w:lastRenderedPageBreak/>
        <w:drawing>
          <wp:inline distT="0" distB="0" distL="0" distR="0" wp14:anchorId="08FFAAD2" wp14:editId="5348DEDA">
            <wp:extent cx="5487035" cy="45726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035" cy="4572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14:paraId="63C14BED" w14:textId="7B7B3FEC" w:rsidR="00273278" w:rsidRDefault="009F67F1" w:rsidP="00273278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Figure S</w:t>
      </w:r>
      <w:r w:rsidR="00273278">
        <w:rPr>
          <w:rFonts w:ascii="Times New Roman" w:eastAsiaTheme="minorEastAsia" w:hAnsi="Times New Roman" w:cs="Times New Roman"/>
        </w:rPr>
        <w:t xml:space="preserve">2. Ordination plot with </w:t>
      </w:r>
      <w:r w:rsidR="00273278" w:rsidRPr="00BC0DD6">
        <w:rPr>
          <w:rFonts w:ascii="Times New Roman" w:eastAsiaTheme="minorEastAsia" w:hAnsi="Times New Roman" w:cs="Times New Roman"/>
        </w:rPr>
        <w:t>Non-Metric Multi-Dimensional Scaling</w:t>
      </w:r>
      <w:r w:rsidR="00273278">
        <w:rPr>
          <w:rFonts w:ascii="Times New Roman" w:eastAsiaTheme="minorEastAsia" w:hAnsi="Times New Roman" w:cs="Times New Roman"/>
        </w:rPr>
        <w:t xml:space="preserve"> (NMDS). </w:t>
      </w:r>
    </w:p>
    <w:p w14:paraId="098AA7A8" w14:textId="77777777" w:rsidR="00273278" w:rsidRPr="00FE6029" w:rsidRDefault="00273278" w:rsidP="00273278">
      <w:pPr>
        <w:rPr>
          <w:rFonts w:ascii="Times New Roman" w:eastAsiaTheme="minorEastAsia" w:hAnsi="Times New Roman" w:cs="Times New Roman"/>
        </w:rPr>
        <w:sectPr w:rsidR="00273278" w:rsidRPr="00FE602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74E825E" w14:textId="77777777" w:rsidR="00273278" w:rsidRDefault="00273278" w:rsidP="00273278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</w:rPr>
        <w:lastRenderedPageBreak/>
        <w:drawing>
          <wp:inline distT="0" distB="0" distL="0" distR="0" wp14:anchorId="2D9A439D" wp14:editId="12209F87">
            <wp:extent cx="8839200" cy="4276498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5005" cy="4308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EC1BAE" w14:textId="3940EC0D" w:rsidR="00273278" w:rsidRPr="00BC0DD6" w:rsidRDefault="009F67F1" w:rsidP="00273278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Figure S</w:t>
      </w:r>
      <w:r w:rsidR="00273278">
        <w:rPr>
          <w:rFonts w:ascii="Times New Roman" w:eastAsiaTheme="minorEastAsia" w:hAnsi="Times New Roman" w:cs="Times New Roman"/>
        </w:rPr>
        <w:t>3</w:t>
      </w:r>
      <w:r w:rsidR="00273278" w:rsidRPr="00BC0DD6">
        <w:rPr>
          <w:rFonts w:ascii="Times New Roman" w:eastAsiaTheme="minorEastAsia" w:hAnsi="Times New Roman" w:cs="Times New Roman"/>
        </w:rPr>
        <w:t xml:space="preserve">. </w:t>
      </w:r>
      <w:r w:rsidR="00273278">
        <w:rPr>
          <w:rFonts w:ascii="Times New Roman" w:eastAsiaTheme="minorEastAsia" w:hAnsi="Times New Roman" w:cs="Times New Roman"/>
        </w:rPr>
        <w:t>Krona visualization showing microbiome composition of gut microbiota in each group</w:t>
      </w:r>
      <w:r w:rsidR="00273278" w:rsidRPr="00BC0DD6">
        <w:rPr>
          <w:rFonts w:ascii="Times New Roman" w:eastAsiaTheme="minorEastAsia" w:hAnsi="Times New Roman" w:cs="Times New Roman"/>
        </w:rPr>
        <w:t xml:space="preserve">. </w:t>
      </w:r>
    </w:p>
    <w:p w14:paraId="41EE9949" w14:textId="77777777" w:rsidR="00273278" w:rsidRPr="00CC330C" w:rsidRDefault="00273278" w:rsidP="00273278">
      <w:pPr>
        <w:rPr>
          <w:rFonts w:ascii="Times New Roman" w:eastAsiaTheme="minorEastAsia" w:hAnsi="Times New Roman" w:cs="Times New Roman"/>
        </w:rPr>
      </w:pPr>
    </w:p>
    <w:p w14:paraId="797B4C66" w14:textId="77777777" w:rsidR="00273278" w:rsidRPr="00F25B54" w:rsidRDefault="00273278" w:rsidP="00273278">
      <w:pPr>
        <w:rPr>
          <w:rFonts w:ascii="Times New Roman" w:eastAsiaTheme="minorEastAsia" w:hAnsi="Times New Roman" w:cs="Times New Roman"/>
        </w:rPr>
        <w:sectPr w:rsidR="00273278" w:rsidRPr="00F25B54" w:rsidSect="008A4F05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0A2EDED1" w14:textId="77777777" w:rsidR="00273278" w:rsidRDefault="00273278" w:rsidP="00273278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</w:rPr>
        <w:lastRenderedPageBreak/>
        <w:drawing>
          <wp:inline distT="0" distB="0" distL="0" distR="0" wp14:anchorId="0894A815" wp14:editId="4A00DD48">
            <wp:extent cx="5783178" cy="3294379"/>
            <wp:effectExtent l="0" t="0" r="8255" b="190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2041" cy="33051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26B1D8" w14:textId="2C652646" w:rsidR="00273278" w:rsidRDefault="009F67F1" w:rsidP="00273278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Figure S</w:t>
      </w:r>
      <w:r w:rsidR="00273278">
        <w:rPr>
          <w:rFonts w:ascii="Times New Roman" w:eastAsiaTheme="minorEastAsia" w:hAnsi="Times New Roman" w:cs="Times New Roman"/>
        </w:rPr>
        <w:t xml:space="preserve">4. </w:t>
      </w:r>
      <w:proofErr w:type="spellStart"/>
      <w:r w:rsidR="00273278">
        <w:rPr>
          <w:rFonts w:ascii="Times New Roman" w:eastAsiaTheme="minorEastAsia" w:hAnsi="Times New Roman" w:cs="Times New Roman"/>
        </w:rPr>
        <w:t>LefSe</w:t>
      </w:r>
      <w:proofErr w:type="spellEnd"/>
      <w:r w:rsidR="00273278">
        <w:rPr>
          <w:rFonts w:ascii="Times New Roman" w:eastAsiaTheme="minorEastAsia" w:hAnsi="Times New Roman" w:cs="Times New Roman"/>
        </w:rPr>
        <w:t xml:space="preserve"> analysis of differential micro-organisms. </w:t>
      </w:r>
    </w:p>
    <w:p w14:paraId="3E8194F8" w14:textId="77777777" w:rsidR="00273278" w:rsidRDefault="00273278" w:rsidP="00273278">
      <w:pPr>
        <w:rPr>
          <w:rFonts w:ascii="Times New Roman" w:eastAsiaTheme="minorEastAsia" w:hAnsi="Times New Roman" w:cs="Times New Roman"/>
        </w:rPr>
      </w:pPr>
    </w:p>
    <w:p w14:paraId="115EFE0E" w14:textId="77777777" w:rsidR="00273278" w:rsidRDefault="00273278" w:rsidP="00273278">
      <w:pPr>
        <w:rPr>
          <w:rFonts w:ascii="Times New Roman" w:eastAsiaTheme="minorEastAsia" w:hAnsi="Times New Roman" w:cs="Times New Roman"/>
        </w:rPr>
      </w:pPr>
    </w:p>
    <w:p w14:paraId="04450886" w14:textId="77777777" w:rsidR="00273278" w:rsidRDefault="00273278" w:rsidP="00273278">
      <w:pPr>
        <w:rPr>
          <w:rFonts w:ascii="Times New Roman" w:eastAsiaTheme="minorEastAsia" w:hAnsi="Times New Roman" w:cs="Times New Roman"/>
        </w:rPr>
      </w:pPr>
      <w:r w:rsidRPr="002E4F5D">
        <w:rPr>
          <w:rFonts w:ascii="Times New Roman" w:eastAsiaTheme="minorEastAsia" w:hAnsi="Times New Roman" w:cs="Times New Roman"/>
          <w:noProof/>
        </w:rPr>
        <w:drawing>
          <wp:inline distT="0" distB="0" distL="0" distR="0" wp14:anchorId="1E360114" wp14:editId="18D421A7">
            <wp:extent cx="5851171" cy="3600450"/>
            <wp:effectExtent l="0" t="0" r="0" b="0"/>
            <wp:docPr id="9" name="Content Placeholder 8">
              <a:extLst xmlns:a="http://schemas.openxmlformats.org/drawingml/2006/main">
                <a:ext uri="{FF2B5EF4-FFF2-40B4-BE49-F238E27FC236}">
                  <a16:creationId xmlns:a16="http://schemas.microsoft.com/office/drawing/2014/main" id="{81D16535-44E7-4BD6-A60F-23904A12E82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ontent Placeholder 8">
                      <a:extLst>
                        <a:ext uri="{FF2B5EF4-FFF2-40B4-BE49-F238E27FC236}">
                          <a16:creationId xmlns:a16="http://schemas.microsoft.com/office/drawing/2014/main" id="{81D16535-44E7-4BD6-A60F-23904A12E82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5589" cy="3603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4C150" w14:textId="2B5DC195" w:rsidR="00273278" w:rsidRDefault="009F67F1" w:rsidP="00273278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Figure S</w:t>
      </w:r>
      <w:r w:rsidR="00273278">
        <w:rPr>
          <w:rFonts w:ascii="Times New Roman" w:eastAsiaTheme="minorEastAsia" w:hAnsi="Times New Roman" w:cs="Times New Roman"/>
        </w:rPr>
        <w:t xml:space="preserve">5. </w:t>
      </w:r>
      <w:r w:rsidR="00273278" w:rsidRPr="002E4F5D">
        <w:rPr>
          <w:rFonts w:ascii="Times New Roman" w:eastAsiaTheme="minorEastAsia" w:hAnsi="Times New Roman" w:cs="Times New Roman"/>
        </w:rPr>
        <w:t>The distribution of KEGG functional categories</w:t>
      </w:r>
      <w:r w:rsidR="00273278">
        <w:rPr>
          <w:rFonts w:ascii="Times New Roman" w:eastAsiaTheme="minorEastAsia" w:hAnsi="Times New Roman" w:cs="Times New Roman"/>
        </w:rPr>
        <w:t xml:space="preserve">. </w:t>
      </w:r>
    </w:p>
    <w:p w14:paraId="1545A90A" w14:textId="77777777" w:rsidR="0098562D" w:rsidRDefault="0098562D"/>
    <w:sectPr w:rsidR="009856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278"/>
    <w:rsid w:val="00273278"/>
    <w:rsid w:val="002A3326"/>
    <w:rsid w:val="004C4297"/>
    <w:rsid w:val="0098562D"/>
    <w:rsid w:val="009F67F1"/>
    <w:rsid w:val="00DA636D"/>
    <w:rsid w:val="00EF0D39"/>
    <w:rsid w:val="00F4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970B9"/>
  <w15:chartTrackingRefBased/>
  <w15:docId w15:val="{2EBD0E5D-6BDC-4F11-BA6C-2BEB0C648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278"/>
    <w:pPr>
      <w:widowControl w:val="0"/>
      <w:jc w:val="both"/>
    </w:pPr>
    <w:rPr>
      <w:rFonts w:eastAsia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List Table 1 Light"/>
    <w:basedOn w:val="a1"/>
    <w:uiPriority w:val="46"/>
    <w:rsid w:val="0027327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</dc:creator>
  <cp:keywords/>
  <dc:description/>
  <cp:lastModifiedBy>lau Fiona</cp:lastModifiedBy>
  <cp:revision>5</cp:revision>
  <dcterms:created xsi:type="dcterms:W3CDTF">2020-01-30T02:53:00Z</dcterms:created>
  <dcterms:modified xsi:type="dcterms:W3CDTF">2020-02-22T14:28:00Z</dcterms:modified>
</cp:coreProperties>
</file>